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C0621" w:rsidRPr="006C0621" w:rsidRDefault="006C0621" w:rsidP="005E5550">
      <w:pPr>
        <w:spacing w:before="200" w:after="80"/>
        <w:jc w:val="cente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CONCURSO DE PROYECTOS DE INVESTIGACIÓN</w:t>
      </w:r>
    </w:p>
    <w:p w:rsidR="006C0621" w:rsidRPr="006C0621" w:rsidRDefault="006C0621" w:rsidP="005E5550">
      <w:pPr>
        <w:spacing w:before="40" w:after="40"/>
        <w:jc w:val="cente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Unidad Académica de Oncología Clínica. GOCUR.</w:t>
      </w:r>
    </w:p>
    <w:p w:rsidR="006C0621" w:rsidRPr="006C0621" w:rsidRDefault="006C0621" w:rsidP="005E5550">
      <w:pPr>
        <w:spacing w:before="40" w:after="40"/>
        <w:jc w:val="cente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 xml:space="preserve"> Hospital de Clínicas. Universidad de la República</w:t>
      </w:r>
    </w:p>
    <w:p w:rsidR="006C0621" w:rsidRPr="006C0621" w:rsidRDefault="006C0621" w:rsidP="005E5550">
      <w:pPr>
        <w:spacing w:before="200" w:after="80"/>
        <w:jc w:val="cente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Convocatoria 2026</w:t>
      </w:r>
    </w:p>
    <w:p w:rsidR="006C0621" w:rsidRPr="006C0621" w:rsidRDefault="006C0621" w:rsidP="005E5550">
      <w:pPr>
        <w:spacing w:before="40" w:after="720"/>
        <w:jc w:val="cente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BASES Y CONDICIONES</w:t>
      </w:r>
    </w:p>
    <w:p w:rsidR="006C0621" w:rsidRPr="006C0621" w:rsidRDefault="006C0621" w:rsidP="005E5550">
      <w:pPr>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1. Presentación</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El GOCUR en conjunto con la</w:t>
      </w:r>
      <w:r w:rsidRPr="006C0621">
        <w:rPr>
          <w:rFonts w:ascii="Arial" w:eastAsia="Arial" w:hAnsi="Arial" w:cs="Arial"/>
          <w:color w:val="000000"/>
          <w:kern w:val="0"/>
          <w:sz w:val="22"/>
          <w:szCs w:val="22"/>
          <w:lang w:val="es-UY" w:eastAsia="es-MX"/>
          <w14:ligatures w14:val="none"/>
        </w:rPr>
        <w:t xml:space="preserve"> </w:t>
      </w:r>
      <w:r w:rsidRPr="006C0621">
        <w:rPr>
          <w:rFonts w:ascii="Aptos" w:eastAsia="Arial" w:hAnsi="Aptos" w:cs="Arial"/>
          <w:color w:val="000000"/>
          <w:kern w:val="0"/>
          <w:lang w:val="es-UY" w:eastAsia="es-MX"/>
          <w14:ligatures w14:val="none"/>
        </w:rPr>
        <w:t>Unidad Académica de Oncología Clínica del Hospital de Clínicas, convoca al Concurso de Proyectos de Investigación con el objetivo de promover la generación de conocimiento en oncología, fomentar la formación de los posgrados y fortalecer la vinculación entre docentes y estudiantes de posgrado de la cátedra.</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Los proyectos seleccionados recibirán financiamiento para su ejecución durante un período máximo de dos años.</w:t>
      </w:r>
    </w:p>
    <w:p w:rsidR="006C0621" w:rsidRPr="006C0621" w:rsidRDefault="006C0621" w:rsidP="005E5550">
      <w:pPr>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2. Objetivos del concurso</w:t>
      </w:r>
    </w:p>
    <w:p w:rsidR="006C0621" w:rsidRPr="006C0621" w:rsidRDefault="006C0621" w:rsidP="005E5550">
      <w:pPr>
        <w:numPr>
          <w:ilvl w:val="0"/>
          <w:numId w:val="1"/>
        </w:numPr>
        <w:spacing w:before="60" w:after="6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Estimular la producción científica en el ámbito de la oncología clínica y la mejora de la calidad asistencial.</w:t>
      </w:r>
    </w:p>
    <w:p w:rsidR="006C0621" w:rsidRPr="006C0621" w:rsidRDefault="006C0621" w:rsidP="005E5550">
      <w:pPr>
        <w:numPr>
          <w:ilvl w:val="0"/>
          <w:numId w:val="1"/>
        </w:numPr>
        <w:spacing w:before="60" w:after="6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Promover la formación en investigación de los médicos en posgrado de oncología.</w:t>
      </w:r>
    </w:p>
    <w:p w:rsidR="006C0621" w:rsidRPr="006C0621" w:rsidRDefault="006C0621" w:rsidP="005E5550">
      <w:pPr>
        <w:numPr>
          <w:ilvl w:val="0"/>
          <w:numId w:val="1"/>
        </w:numPr>
        <w:spacing w:before="60" w:after="6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Fortalecer el vínculo entre docentes de la cátedra y posgrados a través del trabajo conjunto.</w:t>
      </w:r>
    </w:p>
    <w:p w:rsidR="006C0621" w:rsidRPr="006C0621" w:rsidRDefault="006C0621" w:rsidP="005E5550">
      <w:pPr>
        <w:numPr>
          <w:ilvl w:val="0"/>
          <w:numId w:val="1"/>
        </w:numPr>
        <w:spacing w:before="60" w:after="6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Generar resultados aplicables a la práctica clínica y a la gestión de calidad en oncología.</w:t>
      </w:r>
    </w:p>
    <w:p w:rsidR="006C0621" w:rsidRPr="006C0621" w:rsidRDefault="006C0621" w:rsidP="005E5550">
      <w:pPr>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3. Áreas temáticas financiables</w:t>
      </w:r>
    </w:p>
    <w:p w:rsidR="006C0621" w:rsidRPr="006C0621" w:rsidRDefault="006C0621" w:rsidP="005E5550">
      <w:p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Se financiarán proyectos enmarcados en alguna de las siguientes áreas:</w:t>
      </w:r>
    </w:p>
    <w:p w:rsidR="006C0621" w:rsidRPr="006C0621" w:rsidRDefault="006C0621" w:rsidP="005E5550">
      <w:pPr>
        <w:numPr>
          <w:ilvl w:val="0"/>
          <w:numId w:val="2"/>
        </w:num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Investigación clínica en oncología (estudios observacionales, cohortes, estudios de diagnóstico o tratamiento).</w:t>
      </w:r>
    </w:p>
    <w:p w:rsidR="006C0621" w:rsidRPr="006C0621" w:rsidRDefault="006C0621" w:rsidP="005E5550">
      <w:pPr>
        <w:numPr>
          <w:ilvl w:val="0"/>
          <w:numId w:val="2"/>
        </w:num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Mejora de la calidad asistencial (implementación y evaluación de protocolos, auditorías clínicas, indicadores de calidad, seguridad del paciente oncológico).</w:t>
      </w:r>
    </w:p>
    <w:p w:rsidR="006C0621" w:rsidRPr="006C0621" w:rsidRDefault="006C0621" w:rsidP="005E5550">
      <w:pPr>
        <w:numPr>
          <w:ilvl w:val="0"/>
          <w:numId w:val="2"/>
        </w:num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Calidad de vida en pacientes oncológicos, incluyendo evaluación de toxicidad y adherencia a los tratamientos.</w:t>
      </w:r>
    </w:p>
    <w:p w:rsidR="006C0621" w:rsidRPr="006C0621" w:rsidRDefault="006C0621" w:rsidP="005E5550">
      <w:pPr>
        <w:numPr>
          <w:ilvl w:val="0"/>
          <w:numId w:val="2"/>
        </w:num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Humanización de la atención oncológica (atención centrada en el paciente, apoyo psicosocial, comunicación clínica, cuidados paliativos).</w:t>
      </w:r>
    </w:p>
    <w:p w:rsidR="006C0621" w:rsidRPr="006C0621" w:rsidRDefault="006C0621" w:rsidP="005E5550">
      <w:pPr>
        <w:numPr>
          <w:ilvl w:val="0"/>
          <w:numId w:val="2"/>
        </w:num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lastRenderedPageBreak/>
        <w:t>Telemedicina y seguimiento remoto de pacientes oncológicos.</w:t>
      </w:r>
    </w:p>
    <w:p w:rsidR="006C0621" w:rsidRPr="006C0621" w:rsidRDefault="006C0621" w:rsidP="005E5550">
      <w:pPr>
        <w:numPr>
          <w:ilvl w:val="0"/>
          <w:numId w:val="2"/>
        </w:num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Largos supervivientes de cáncer: cuidados, secuelas y calidad de vida a largo plazo.</w:t>
      </w:r>
    </w:p>
    <w:p w:rsidR="006C0621" w:rsidRPr="006C0621" w:rsidRDefault="006C0621" w:rsidP="005E5550">
      <w:pPr>
        <w:numPr>
          <w:ilvl w:val="0"/>
          <w:numId w:val="2"/>
        </w:num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Ejercicio físico y hábitos de vida en oncología (actividad física, tabaquismo, sedentarismo, sobrepeso y obesidad en pacientes con cáncer).</w:t>
      </w:r>
    </w:p>
    <w:p w:rsidR="006C0621" w:rsidRPr="006C0621" w:rsidRDefault="006C0621" w:rsidP="005E5550">
      <w:pPr>
        <w:numPr>
          <w:ilvl w:val="0"/>
          <w:numId w:val="2"/>
        </w:num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Aplicación de inteligencia artificial en oncología, incluyendo su uso por pacientes y por equipos de salud.</w:t>
      </w:r>
    </w:p>
    <w:p w:rsidR="006C0621" w:rsidRPr="006C0621" w:rsidRDefault="006C0621" w:rsidP="005E5550">
      <w:pPr>
        <w:numPr>
          <w:ilvl w:val="0"/>
          <w:numId w:val="2"/>
        </w:num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Cualquier otra área temática priorizada en convocatorias nacionales o internacionales de oncología vigentes al momento de la postulación, a criterio de la comisión evaluadora.</w:t>
      </w:r>
    </w:p>
    <w:p w:rsidR="006C0621" w:rsidRPr="006C0621" w:rsidRDefault="006C0621" w:rsidP="005E5550">
      <w:pPr>
        <w:spacing w:before="360" w:after="120"/>
        <w:jc w:val="both"/>
        <w:outlineLvl w:val="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No se financiarán proyectos de investigación básica o experimental sin componente clínico directo.</w:t>
      </w:r>
    </w:p>
    <w:p w:rsidR="006C0621" w:rsidRPr="006C0621" w:rsidRDefault="006C0621" w:rsidP="005E5550">
      <w:pPr>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4. Requisitos de postulación</w:t>
      </w:r>
    </w:p>
    <w:p w:rsidR="006C0621" w:rsidRPr="006C0621" w:rsidRDefault="006C0621" w:rsidP="005E5550">
      <w:pPr>
        <w:spacing w:before="240" w:after="80"/>
        <w:jc w:val="both"/>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4.1 Equipo de trabajo</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Cada proyecto deberá contar con:</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Un investigador principal, quien deberá ser médico en formación de posgrado en la Unidad Académica de Oncología Clínica del Hospital de Clínicas, activo al momento de la postulación</w:t>
      </w:r>
      <w:r w:rsidR="002F4764">
        <w:rPr>
          <w:rFonts w:ascii="Aptos" w:eastAsia="Arial" w:hAnsi="Aptos" w:cs="Arial"/>
          <w:color w:val="000000"/>
          <w:kern w:val="0"/>
          <w:lang w:val="es-UY" w:eastAsia="es-MX"/>
          <w14:ligatures w14:val="none"/>
        </w:rPr>
        <w:t xml:space="preserve"> o que haya finalizado el posgrado y preparando la prueba o tramitando su título</w:t>
      </w:r>
      <w:r w:rsidRPr="006C0621">
        <w:rPr>
          <w:rFonts w:ascii="Aptos" w:eastAsia="Arial" w:hAnsi="Aptos" w:cs="Arial"/>
          <w:color w:val="000000"/>
          <w:kern w:val="0"/>
          <w:lang w:val="es-UY" w:eastAsia="es-MX"/>
          <w14:ligatures w14:val="none"/>
        </w:rPr>
        <w:t>.</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Un  tutor, quien deberá ser docente con cargo activo</w:t>
      </w:r>
      <w:r w:rsidR="00EB6513">
        <w:rPr>
          <w:rFonts w:ascii="Aptos" w:eastAsia="Arial" w:hAnsi="Aptos" w:cs="Arial"/>
          <w:color w:val="000000"/>
          <w:kern w:val="0"/>
          <w:lang w:val="es-UY" w:eastAsia="es-MX"/>
          <w14:ligatures w14:val="none"/>
        </w:rPr>
        <w:t xml:space="preserve"> o ex docente</w:t>
      </w:r>
      <w:r w:rsidRPr="006C0621">
        <w:rPr>
          <w:rFonts w:ascii="Aptos" w:eastAsia="Arial" w:hAnsi="Aptos" w:cs="Arial"/>
          <w:color w:val="000000"/>
          <w:kern w:val="0"/>
          <w:lang w:val="es-UY" w:eastAsia="es-MX"/>
          <w14:ligatures w14:val="none"/>
        </w:rPr>
        <w:t xml:space="preserve"> </w:t>
      </w:r>
      <w:r w:rsidR="00EB6513">
        <w:rPr>
          <w:rFonts w:ascii="Aptos" w:eastAsia="Arial" w:hAnsi="Aptos" w:cs="Arial"/>
          <w:color w:val="000000"/>
          <w:kern w:val="0"/>
          <w:lang w:val="es-UY" w:eastAsia="es-MX"/>
          <w14:ligatures w14:val="none"/>
        </w:rPr>
        <w:t>de</w:t>
      </w:r>
      <w:r w:rsidRPr="006C0621">
        <w:rPr>
          <w:rFonts w:ascii="Aptos" w:eastAsia="Arial" w:hAnsi="Aptos" w:cs="Arial"/>
          <w:color w:val="000000"/>
          <w:kern w:val="0"/>
          <w:lang w:val="es-UY" w:eastAsia="es-MX"/>
          <w14:ligatures w14:val="none"/>
        </w:rPr>
        <w:t xml:space="preserve"> la Unidad Académica de Oncología Clínica (grado 2 o superior). El tutor es responsable de la orientación científica y metodológica del proyecto y de avalar la postulación.</w:t>
      </w:r>
    </w:p>
    <w:p w:rsidR="006C0621" w:rsidRPr="006C0621" w:rsidRDefault="006C0621" w:rsidP="005E5550">
      <w:pPr>
        <w:spacing w:before="240" w:after="80"/>
        <w:jc w:val="both"/>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4.2 Condiciones del proyecto</w:t>
      </w:r>
    </w:p>
    <w:p w:rsidR="006C0621" w:rsidRPr="006C0621" w:rsidRDefault="006C0621" w:rsidP="005E5550">
      <w:pPr>
        <w:numPr>
          <w:ilvl w:val="0"/>
          <w:numId w:val="1"/>
        </w:numPr>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El proyecto debe ser original, no haber recibido financiamiento previo de otras fuentes para los mismos objetivos, y no estar en ejecución al momento de la postulación. Durante la ejecución, el equipo investigador podrá gestionar financiamiento complementario de otras fuentes para el mismo proyecto, debiendo informarlo oportunamente al GOCUR.</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El proyecto debe realizarse íntegramente en el ámbito del Hospital de Clínicas y/o en sus CEDAS.</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Los proyectos que involucren participantes humanos deberán contar con aprobación del Comité de Ética de Investigación del Hospital de Clínicas y/o del CEDA antes del inicio de la fase de recolección de datos. La aprobación ética podrá presentarse como requisito previo a la firma del convenio de financiamiento.</w:t>
      </w:r>
    </w:p>
    <w:p w:rsidR="006C0621" w:rsidRPr="006C0621" w:rsidRDefault="006C0621" w:rsidP="005E5550">
      <w:pPr>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lastRenderedPageBreak/>
        <w:t>5. Financiamiento</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 xml:space="preserve">El GOCUR financiará un monto máximo de USD 5.000 (cinco mil dólares americanos) por proyecto seleccionado, pudiendo financiarse hasta tres proyectos por convocatoria. </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El monto será desembolsado en dos tramos:</w:t>
      </w:r>
    </w:p>
    <w:p w:rsidR="006C0621" w:rsidRPr="005E5550"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5E5550">
        <w:rPr>
          <w:rFonts w:ascii="Aptos" w:eastAsia="Arial" w:hAnsi="Aptos" w:cs="Arial"/>
          <w:color w:val="000000"/>
          <w:kern w:val="0"/>
          <w:lang w:val="es-UY" w:eastAsia="es-MX"/>
          <w14:ligatures w14:val="none"/>
        </w:rPr>
        <w:t>Primer tramo: USD 2.000 al momento de la firma del convenio de financiamiento.</w:t>
      </w:r>
    </w:p>
    <w:p w:rsidR="005E5550" w:rsidRPr="005E5550" w:rsidRDefault="006C0621" w:rsidP="005E5550">
      <w:pPr>
        <w:numPr>
          <w:ilvl w:val="0"/>
          <w:numId w:val="1"/>
        </w:numPr>
        <w:spacing w:before="80" w:after="80"/>
        <w:jc w:val="both"/>
        <w:rPr>
          <w:rFonts w:ascii="Aptos" w:eastAsia="Arial" w:hAnsi="Aptos" w:cs="Arial"/>
          <w:color w:val="000000"/>
          <w:kern w:val="0"/>
          <w:lang w:val="es-UY" w:eastAsia="es-MX"/>
          <w14:ligatures w14:val="none"/>
        </w:rPr>
      </w:pPr>
      <w:r w:rsidRPr="005E5550">
        <w:rPr>
          <w:rFonts w:ascii="Aptos" w:eastAsia="Arial" w:hAnsi="Aptos" w:cs="Arial"/>
          <w:color w:val="000000"/>
          <w:kern w:val="0"/>
          <w:lang w:val="es-UY" w:eastAsia="es-MX"/>
          <w14:ligatures w14:val="none"/>
        </w:rPr>
        <w:t>Segundo tramo: USD 3.000 al cumplirse 12 meses desde el inicio del proyecto, previa presentación y aprobación del informe de avance.</w:t>
      </w:r>
      <w:r w:rsidR="005E5550" w:rsidRPr="005E5550">
        <w:rPr>
          <w:rFonts w:ascii="Aptos" w:eastAsia="Arial" w:hAnsi="Aptos" w:cs="Arial"/>
          <w:color w:val="000000"/>
          <w:kern w:val="0"/>
          <w:lang w:val="es-UY" w:eastAsia="es-MX"/>
          <w14:ligatures w14:val="none"/>
        </w:rPr>
        <w:t xml:space="preserve"> </w:t>
      </w:r>
    </w:p>
    <w:p w:rsidR="006C0621" w:rsidRPr="005E5550" w:rsidRDefault="006C0621" w:rsidP="005E5550">
      <w:pPr>
        <w:numPr>
          <w:ilvl w:val="0"/>
          <w:numId w:val="1"/>
        </w:numPr>
        <w:spacing w:before="80" w:after="80"/>
        <w:jc w:val="both"/>
        <w:rPr>
          <w:rFonts w:ascii="Aptos" w:eastAsia="Arial" w:hAnsi="Aptos" w:cs="Arial"/>
          <w:color w:val="000000"/>
          <w:kern w:val="0"/>
          <w:lang w:val="es-UY" w:eastAsia="es-MX"/>
          <w14:ligatures w14:val="none"/>
        </w:rPr>
      </w:pPr>
      <w:r w:rsidRPr="005E5550">
        <w:rPr>
          <w:rFonts w:ascii="Aptos" w:eastAsia="Arial" w:hAnsi="Aptos" w:cs="Arial"/>
          <w:color w:val="000000"/>
          <w:kern w:val="0"/>
          <w:lang w:val="es-UY" w:eastAsia="es-MX"/>
          <w14:ligatures w14:val="none"/>
        </w:rPr>
        <w:t>Los rubros financiables incluyen, entre otros:</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Materiales e insumos fungibles para la investigación.</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Análisis de laboratorio, estudios diagnósticos u otros procedimientos necesarios para el proyecto.</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Equipamiento inventariable de bajo costo directamente vinculado al proyecto.</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Contratación de servicios específicos para el proyecto (estadística, procesamiento de muestras, programas, desarrollo de aplicaciones etc.).</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Gastos de difusión y publicación de resultados (acceso abierto, presentaciones en congresos, viajes con justificación explícita).</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No se financiarán: honorarios del investigador principal ni del equipo investigador, remuneraciones de personal de la institución, gastos de funcionamiento general del servicio, ni equipamiento de uso no exclusivo del proyecto.</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Los gastos de publicación de resultados (acceso abierto, cargos por publicación en revistas con referato) serán financiados con fondos adicionales del GOCUR, independientes del monto de USD 5.000 asignado al proyecto, previa solicitud y aprobación por la Comisión Directiva.</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p>
    <w:p w:rsidR="006C0621" w:rsidRPr="006C0621" w:rsidRDefault="006C0621" w:rsidP="005E5550">
      <w:pPr>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6. Cronograma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6C0621" w:rsidRPr="006C0621" w:rsidTr="00CC7F0F">
        <w:tc>
          <w:tcPr>
            <w:tcW w:w="3200"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Publicación de la convocatoria</w:t>
            </w:r>
          </w:p>
        </w:tc>
        <w:tc>
          <w:tcPr>
            <w:tcW w:w="58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Julio 2026</w:t>
            </w:r>
          </w:p>
        </w:tc>
      </w:tr>
      <w:tr w:rsidR="006C0621" w:rsidRPr="006C0621" w:rsidTr="00CC7F0F">
        <w:tc>
          <w:tcPr>
            <w:tcW w:w="3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Plazo de presentación de proyectos</w:t>
            </w:r>
          </w:p>
        </w:tc>
        <w:tc>
          <w:tcPr>
            <w:tcW w:w="58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 xml:space="preserve">Hasta el 31 de diciembre de 2026 </w:t>
            </w:r>
          </w:p>
        </w:tc>
      </w:tr>
      <w:tr w:rsidR="006C0621" w:rsidRPr="006C0621" w:rsidTr="00CC7F0F">
        <w:tc>
          <w:tcPr>
            <w:tcW w:w="3200"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Revisión de requisitos formales y período de alegaciones</w:t>
            </w:r>
          </w:p>
        </w:tc>
        <w:tc>
          <w:tcPr>
            <w:tcW w:w="58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Enero 2027 los postulantes cuya solicitud sea rechazada por razones formales podrán presentar alegaciones dentro de este plazo</w:t>
            </w:r>
          </w:p>
        </w:tc>
      </w:tr>
      <w:tr w:rsidR="006C0621" w:rsidRPr="006C0621" w:rsidTr="00CC7F0F">
        <w:tc>
          <w:tcPr>
            <w:tcW w:w="3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Evaluación científico-técnica</w:t>
            </w:r>
          </w:p>
        </w:tc>
        <w:tc>
          <w:tcPr>
            <w:tcW w:w="58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Enero 2027</w:t>
            </w:r>
          </w:p>
        </w:tc>
      </w:tr>
      <w:tr w:rsidR="006C0621" w:rsidRPr="006C0621" w:rsidTr="00CC7F0F">
        <w:tc>
          <w:tcPr>
            <w:tcW w:w="3200"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Notificación del ganador</w:t>
            </w:r>
          </w:p>
        </w:tc>
        <w:tc>
          <w:tcPr>
            <w:tcW w:w="58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Febrero 2027</w:t>
            </w:r>
          </w:p>
        </w:tc>
      </w:tr>
      <w:tr w:rsidR="006C0621" w:rsidRPr="006C0621" w:rsidTr="00CC7F0F">
        <w:tc>
          <w:tcPr>
            <w:tcW w:w="3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 xml:space="preserve">Firma del convenio y primer desembolso (USD </w:t>
            </w:r>
            <w:r w:rsidR="005E5550">
              <w:rPr>
                <w:rFonts w:ascii="Aptos" w:eastAsia="Arial" w:hAnsi="Aptos" w:cs="Arial"/>
                <w:b/>
                <w:bCs/>
                <w:color w:val="000000"/>
                <w:kern w:val="0"/>
                <w:lang w:val="es-UY" w:eastAsia="es-MX"/>
                <w14:ligatures w14:val="none"/>
              </w:rPr>
              <w:t>2.0</w:t>
            </w:r>
            <w:r w:rsidRPr="006C0621">
              <w:rPr>
                <w:rFonts w:ascii="Aptos" w:eastAsia="Arial" w:hAnsi="Aptos" w:cs="Arial"/>
                <w:b/>
                <w:bCs/>
                <w:color w:val="000000"/>
                <w:kern w:val="0"/>
                <w:lang w:val="es-UY" w:eastAsia="es-MX"/>
                <w14:ligatures w14:val="none"/>
              </w:rPr>
              <w:t>00)</w:t>
            </w:r>
          </w:p>
        </w:tc>
        <w:tc>
          <w:tcPr>
            <w:tcW w:w="58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Marzo 2027</w:t>
            </w:r>
          </w:p>
        </w:tc>
      </w:tr>
      <w:tr w:rsidR="006C0621" w:rsidRPr="006C0621" w:rsidTr="00CC7F0F">
        <w:tc>
          <w:tcPr>
            <w:tcW w:w="3200"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lastRenderedPageBreak/>
              <w:t>Inicio de ejecución</w:t>
            </w:r>
          </w:p>
        </w:tc>
        <w:tc>
          <w:tcPr>
            <w:tcW w:w="58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Abril 2027</w:t>
            </w:r>
          </w:p>
        </w:tc>
      </w:tr>
      <w:tr w:rsidR="006C0621" w:rsidRPr="006C0621" w:rsidTr="00CC7F0F">
        <w:tc>
          <w:tcPr>
            <w:tcW w:w="3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 xml:space="preserve">Informe de avance y segundo desembolso (USD </w:t>
            </w:r>
            <w:r w:rsidR="005E5550">
              <w:rPr>
                <w:rFonts w:ascii="Aptos" w:eastAsia="Arial" w:hAnsi="Aptos" w:cs="Arial"/>
                <w:b/>
                <w:bCs/>
                <w:color w:val="000000"/>
                <w:kern w:val="0"/>
                <w:lang w:val="es-UY" w:eastAsia="es-MX"/>
                <w14:ligatures w14:val="none"/>
              </w:rPr>
              <w:t>3.0</w:t>
            </w:r>
            <w:r w:rsidRPr="006C0621">
              <w:rPr>
                <w:rFonts w:ascii="Aptos" w:eastAsia="Arial" w:hAnsi="Aptos" w:cs="Arial"/>
                <w:b/>
                <w:bCs/>
                <w:color w:val="000000"/>
                <w:kern w:val="0"/>
                <w:lang w:val="es-UY" w:eastAsia="es-MX"/>
                <w14:ligatures w14:val="none"/>
              </w:rPr>
              <w:t>00)</w:t>
            </w:r>
          </w:p>
        </w:tc>
        <w:tc>
          <w:tcPr>
            <w:tcW w:w="58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Al cumplirse 12 meses de la firma del convenio</w:t>
            </w:r>
          </w:p>
        </w:tc>
      </w:tr>
      <w:tr w:rsidR="006C0621" w:rsidRPr="006C0621" w:rsidTr="00CC7F0F">
        <w:tc>
          <w:tcPr>
            <w:tcW w:w="3200"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Informe final</w:t>
            </w:r>
          </w:p>
        </w:tc>
        <w:tc>
          <w:tcPr>
            <w:tcW w:w="58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Al cumplirse 24 meses de la firma del convenio</w:t>
            </w:r>
          </w:p>
        </w:tc>
      </w:tr>
    </w:tbl>
    <w:p w:rsidR="006C0621" w:rsidRPr="006C0621" w:rsidRDefault="006C0621" w:rsidP="005E5550">
      <w:pPr>
        <w:spacing w:before="24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7. Presentación de postulaciones</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 xml:space="preserve">Las postulaciones deberán enviarse en formato digital al correo electrónico: </w:t>
      </w:r>
      <w:hyperlink r:id="rId7" w:history="1">
        <w:r w:rsidRPr="006C0621">
          <w:rPr>
            <w:rFonts w:ascii="Aptos" w:eastAsia="Arial" w:hAnsi="Aptos" w:cs="Arial"/>
            <w:color w:val="000000"/>
            <w:kern w:val="0"/>
            <w:u w:val="single"/>
            <w:lang w:val="es-UY" w:eastAsia="es-MX"/>
            <w14:ligatures w14:val="none"/>
          </w:rPr>
          <w:t>oncocli@gmail.com</w:t>
        </w:r>
      </w:hyperlink>
      <w:r w:rsidRPr="006C0621">
        <w:rPr>
          <w:rFonts w:ascii="Aptos" w:eastAsia="Arial" w:hAnsi="Aptos" w:cs="Arial"/>
          <w:color w:val="000000"/>
          <w:kern w:val="0"/>
          <w:lang w:val="es-UY" w:eastAsia="es-MX"/>
          <w14:ligatures w14:val="none"/>
        </w:rPr>
        <w:t xml:space="preserve"> antes del plazo establecido en el cronograma, indicando en el asunto: Concurso GOCUR 2026 — Apellido del investigador principal.</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La documentación requerida es la siguiente:</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Proyecto escrito según el formato establecido en el Anexo I de estas bases.</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Currículum vitae abreviado (máximo 2 páginas) del investigador principal y del tutor.</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Carta de aval firmada por el tutor.</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Apartado de adecuación específica a la convocatoria (ver Anexo I, sección 11): justificación de por qué el proyecto se encuadra en las áreas y objetivos de esta convocatoria.</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Aprobación ética (si ya se cuenta con ella al momento de la postulación) o carta de compromiso de tramitación ante el Comité de Ética.</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Postulaciones incompletas o fuera de plazo no serán consideradas. La Comisión Directiva del GOCUR verificará el cumplimiento de los requisitos formales antes de remitir los proyectos a la comisión evaluadora.</w:t>
      </w:r>
    </w:p>
    <w:p w:rsidR="006C0621" w:rsidRPr="006C0621" w:rsidRDefault="006C0621" w:rsidP="005E5550">
      <w:pPr>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8. Criterios de evaluación</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Los proyectos serán evaluados por una comisión designada por la  Comisión Directiva del GOCUR cuyos integrantes no podrán estar  vinculados a los proyectos postulantes y cuando se estime pertinente, podrán convocarse asesores externos. La comisión evaluará los proyectos de acuerdo a los siguientes criterios: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26"/>
        <w:gridCol w:w="2600"/>
      </w:tblGrid>
      <w:tr w:rsidR="006C0621" w:rsidRPr="006C0621" w:rsidTr="00CC7F0F">
        <w:tc>
          <w:tcPr>
            <w:tcW w:w="6426"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Criterio</w:t>
            </w:r>
          </w:p>
        </w:tc>
        <w:tc>
          <w:tcPr>
            <w:tcW w:w="2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rsidR="006C0621" w:rsidRPr="006C0621" w:rsidRDefault="006C0621" w:rsidP="005E5550">
            <w:pPr>
              <w:jc w:val="cente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Puntaje máximo</w:t>
            </w:r>
          </w:p>
        </w:tc>
      </w:tr>
      <w:tr w:rsidR="006C0621" w:rsidRPr="006C0621" w:rsidTr="00CC7F0F">
        <w:tc>
          <w:tcPr>
            <w:tcW w:w="6426"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Relevancia y pertinencia del tema para la oncología nacional</w:t>
            </w:r>
          </w:p>
        </w:tc>
        <w:tc>
          <w:tcPr>
            <w:tcW w:w="2600"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jc w:val="cente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25</w:t>
            </w:r>
          </w:p>
        </w:tc>
      </w:tr>
      <w:tr w:rsidR="006C0621" w:rsidRPr="006C0621" w:rsidTr="00CC7F0F">
        <w:tc>
          <w:tcPr>
            <w:tcW w:w="64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Calidad y viabilidad del diseño metodológico</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jc w:val="cente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25</w:t>
            </w:r>
          </w:p>
        </w:tc>
      </w:tr>
      <w:tr w:rsidR="006C0621" w:rsidRPr="006C0621" w:rsidTr="00CC7F0F">
        <w:tc>
          <w:tcPr>
            <w:tcW w:w="6426"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Claridad de los objetivos e hipótesis</w:t>
            </w:r>
          </w:p>
        </w:tc>
        <w:tc>
          <w:tcPr>
            <w:tcW w:w="2600"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jc w:val="cente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15</w:t>
            </w:r>
          </w:p>
        </w:tc>
      </w:tr>
      <w:tr w:rsidR="006C0621" w:rsidRPr="006C0621" w:rsidTr="00CC7F0F">
        <w:tc>
          <w:tcPr>
            <w:tcW w:w="64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Factibilidad en el plazo y con el presupuesto solicitado</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jc w:val="cente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15</w:t>
            </w:r>
          </w:p>
        </w:tc>
      </w:tr>
      <w:tr w:rsidR="006C0621" w:rsidRPr="006C0621" w:rsidTr="00CC7F0F">
        <w:tc>
          <w:tcPr>
            <w:tcW w:w="6426"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Potencial formativo para el posgrado</w:t>
            </w:r>
          </w:p>
        </w:tc>
        <w:tc>
          <w:tcPr>
            <w:tcW w:w="2600" w:type="dxa"/>
            <w:tcBorders>
              <w:top w:val="single" w:sz="1" w:space="0" w:color="CCCCCC"/>
              <w:left w:val="single" w:sz="1" w:space="0" w:color="CCCCCC"/>
              <w:bottom w:val="single" w:sz="1" w:space="0" w:color="CCCCCC"/>
              <w:right w:val="single" w:sz="1" w:space="0" w:color="CCCCCC"/>
            </w:tcBorders>
            <w:shd w:val="clear" w:color="auto" w:fill="EAF0FB"/>
            <w:tcMar>
              <w:top w:w="80" w:type="dxa"/>
              <w:left w:w="120" w:type="dxa"/>
              <w:bottom w:w="80" w:type="dxa"/>
              <w:right w:w="120" w:type="dxa"/>
            </w:tcMar>
          </w:tcPr>
          <w:p w:rsidR="006C0621" w:rsidRPr="006C0621" w:rsidRDefault="006C0621" w:rsidP="005E5550">
            <w:pPr>
              <w:jc w:val="cente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10</w:t>
            </w:r>
          </w:p>
        </w:tc>
      </w:tr>
      <w:tr w:rsidR="006C0621" w:rsidRPr="006C0621" w:rsidTr="00CC7F0F">
        <w:tc>
          <w:tcPr>
            <w:tcW w:w="64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Idoneidad del equipo (experiencia del tutor, perfil del posgrado)</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C0621" w:rsidRPr="006C0621" w:rsidRDefault="006C0621" w:rsidP="005E5550">
            <w:pPr>
              <w:jc w:val="center"/>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10</w:t>
            </w:r>
          </w:p>
        </w:tc>
      </w:tr>
      <w:tr w:rsidR="006C0621" w:rsidRPr="006C0621" w:rsidTr="00CC7F0F">
        <w:tc>
          <w:tcPr>
            <w:tcW w:w="6426"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6C0621" w:rsidRPr="006C0621" w:rsidRDefault="006C0621" w:rsidP="005E5550">
            <w:pP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lastRenderedPageBreak/>
              <w:t>TOTAL</w:t>
            </w:r>
          </w:p>
        </w:tc>
        <w:tc>
          <w:tcPr>
            <w:tcW w:w="26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6C0621" w:rsidRPr="006C0621" w:rsidRDefault="006C0621" w:rsidP="005E5550">
            <w:pPr>
              <w:jc w:val="center"/>
              <w:rPr>
                <w:rFonts w:ascii="Aptos" w:eastAsia="Arial" w:hAnsi="Aptos" w:cs="Arial"/>
                <w:color w:val="000000"/>
                <w:kern w:val="0"/>
                <w:lang w:val="es-UY" w:eastAsia="es-MX"/>
                <w14:ligatures w14:val="none"/>
              </w:rPr>
            </w:pPr>
            <w:r w:rsidRPr="006C0621">
              <w:rPr>
                <w:rFonts w:ascii="Aptos" w:eastAsia="Arial" w:hAnsi="Aptos" w:cs="Arial"/>
                <w:b/>
                <w:bCs/>
                <w:color w:val="000000"/>
                <w:kern w:val="0"/>
                <w:lang w:val="es-UY" w:eastAsia="es-MX"/>
                <w14:ligatures w14:val="none"/>
              </w:rPr>
              <w:t>100</w:t>
            </w:r>
          </w:p>
        </w:tc>
      </w:tr>
    </w:tbl>
    <w:p w:rsidR="006C0621" w:rsidRPr="006C0621" w:rsidRDefault="006C0621" w:rsidP="005E5550">
      <w:pPr>
        <w:spacing w:before="16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Para ser financiado, un proyecto deberá obtener un puntaje mínimo de 70/100. La comisión podrá declarar el concurso desierto o financiar un número menor de proyectos si ninguno alcanza dicho puntaje mínimo o si el presupuesto disponible no es suficiente.</w:t>
      </w:r>
    </w:p>
    <w:p w:rsidR="006C0621" w:rsidRPr="006C0621" w:rsidRDefault="006C0621" w:rsidP="005E5550">
      <w:pPr>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9. Obligaciones de los beneficiarios</w:t>
      </w:r>
    </w:p>
    <w:p w:rsidR="006C0621" w:rsidRPr="006C0621" w:rsidRDefault="006C0621" w:rsidP="005E5550">
      <w:pPr>
        <w:numPr>
          <w:ilvl w:val="0"/>
          <w:numId w:val="1"/>
        </w:numPr>
        <w:spacing w:before="60" w:after="6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Ejecutar el proyecto conforme al plan de trabajo y presupuesto aprobados.</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Presentar un informe de avance al cumplir los 12 meses de iniciada la ejecución, como condición para el segundo desembolso.</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Presentar un informe final al concluir el proyecto o al cumplirse los 24 meses, lo que ocurra primero.</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Informar oportunamente cualquier modificación sustancial en el equipo, metodología o presupuesto, requiriendo aprobación del GOCUR para su implementación.</w:t>
      </w:r>
    </w:p>
    <w:p w:rsidR="006C0621" w:rsidRPr="006C0621" w:rsidRDefault="006C0621" w:rsidP="005E5550">
      <w:pPr>
        <w:numPr>
          <w:ilvl w:val="0"/>
          <w:numId w:val="1"/>
        </w:numPr>
        <w:spacing w:before="60" w:after="6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El equipo investigador se compromete a publicar los resultados del proyecto a fin de que los mismos sean conocidos y contribuyan al avance del conocimiento en oncología. La publicación podrá realizarse en revista científica nacional o internacional con referato, o mediante presentación en congreso.</w:t>
      </w:r>
    </w:p>
    <w:p w:rsidR="006C0621" w:rsidRPr="006C0621" w:rsidRDefault="006C0621" w:rsidP="005E5550">
      <w:pPr>
        <w:spacing w:before="360" w:after="120"/>
        <w:jc w:val="both"/>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10. Incumplimiento</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El incumplimiento de las obligaciones establecidas podrá dar lugar a la suspensión del financiamiento y a la inhabilitación del equipo para participar en futuras convocatorias del GOCUR. El GOCUR se reserva el derecho de solicitar la devolución de los fondos no utilizados o utilizados fuera de los rubros aprobados.</w:t>
      </w:r>
    </w:p>
    <w:p w:rsidR="006C0621" w:rsidRPr="006C0621" w:rsidRDefault="006C0621" w:rsidP="005E5550">
      <w:pPr>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11.  Disposiciones generales</w:t>
      </w:r>
    </w:p>
    <w:p w:rsidR="006C0621" w:rsidRPr="006C0621" w:rsidRDefault="006C0621" w:rsidP="005E5550">
      <w:pPr>
        <w:numPr>
          <w:ilvl w:val="0"/>
          <w:numId w:val="1"/>
        </w:numPr>
        <w:spacing w:before="60" w:after="6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La presentación de una postulación implica la aceptación íntegra de las presentes bases.</w:t>
      </w:r>
    </w:p>
    <w:p w:rsidR="006C0621" w:rsidRPr="006C0621" w:rsidRDefault="006C0621" w:rsidP="005E5550">
      <w:pPr>
        <w:numPr>
          <w:ilvl w:val="0"/>
          <w:numId w:val="1"/>
        </w:numPr>
        <w:spacing w:before="60" w:after="6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Cualquier situación no prevista en estas bases será resuelta por la Comisión Directiva  del GOCUR, cuya decisión será inapelable.</w:t>
      </w:r>
    </w:p>
    <w:p w:rsidR="006C0621" w:rsidRPr="006C0621" w:rsidRDefault="006C0621" w:rsidP="005E5550">
      <w:pPr>
        <w:numPr>
          <w:ilvl w:val="0"/>
          <w:numId w:val="1"/>
        </w:numPr>
        <w:spacing w:before="60" w:after="6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El GOCUR se reserva el derecho de modificar el cronograma, notificando con debida antelación a los postulantes.</w:t>
      </w:r>
    </w:p>
    <w:p w:rsidR="006C0621" w:rsidRPr="006C0621" w:rsidRDefault="006C0621" w:rsidP="005E5550">
      <w:pPr>
        <w:numPr>
          <w:ilvl w:val="0"/>
          <w:numId w:val="1"/>
        </w:numPr>
        <w:spacing w:before="60" w:after="60"/>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Las consultas sobre la convocatoria deberán realizarse exclusivamente por correo electrónico:</w:t>
      </w:r>
      <w:r w:rsidRPr="006C0621">
        <w:rPr>
          <w:rFonts w:ascii="Arial" w:eastAsia="Arial" w:hAnsi="Arial" w:cs="Arial"/>
          <w:color w:val="000000"/>
          <w:kern w:val="0"/>
          <w:sz w:val="22"/>
          <w:szCs w:val="22"/>
          <w:lang w:val="es-UY" w:eastAsia="es-MX"/>
          <w14:ligatures w14:val="none"/>
        </w:rPr>
        <w:t xml:space="preserve"> </w:t>
      </w:r>
      <w:hyperlink r:id="rId8" w:history="1">
        <w:r w:rsidRPr="006C0621">
          <w:rPr>
            <w:rFonts w:ascii="Aptos" w:eastAsia="Arial" w:hAnsi="Aptos" w:cs="Arial"/>
            <w:color w:val="000000"/>
            <w:kern w:val="0"/>
            <w:u w:val="single"/>
            <w:lang w:val="es-UY" w:eastAsia="es-MX"/>
            <w14:ligatures w14:val="none"/>
          </w:rPr>
          <w:t>oncocli@gmail.com</w:t>
        </w:r>
      </w:hyperlink>
    </w:p>
    <w:p w:rsidR="006C0621" w:rsidRPr="006C0621" w:rsidRDefault="006C0621" w:rsidP="005E5550">
      <w:pPr>
        <w:pageBreakBefore/>
        <w:spacing w:before="360" w:after="120"/>
        <w:outlineLvl w:val="0"/>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lastRenderedPageBreak/>
        <w:t>ANEXO I — Formato del proyecto</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El proyecto escrito deberá respetar el siguiente formato y orden de secciones. La extensión máxima es de 15 páginas (sin contar bibliografía y anexos), en fuente Arial 11, interlineado 1,5, márgenes de 2,5 cm.</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1. Título del proyecto</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Título claro y conciso (máximo 20 palabras).</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2. Datos del equipo</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Nombre completo, cargo, institución y correo electrónico del investigador principal y del tutor.</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3. Resumen</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Resumen estructurado de hasta 250 palabras (antecedentes, objetivo, metodología, resultados esperados, impacto).</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4. Introducción y justificación</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Revisión del estado del arte, relevancia del problema y justificación de la investigación.</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5. Hipótesis (si aplica) y objetivos</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Objetivo general y objetivos específicos claramente formulados.</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6. Metodología</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Diseño del estudio, población, criterios de inclusión y exclusión, variables, métodos de recolección y análisis de datos, consideraciones éticas.</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7. Plan de trabajo y cronograma</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Descripción de las etapas del proyecto y cronograma detallado (puede presentarse en formato de tabla o diagrama de Gantt). Incluir distribución de tareas entre el investigador principal y el tutor.</w:t>
      </w:r>
    </w:p>
    <w:p w:rsid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8. Presupuesto</w:t>
      </w:r>
    </w:p>
    <w:p w:rsidR="00287BE6" w:rsidRPr="00287BE6" w:rsidRDefault="00250DF1" w:rsidP="00287BE6">
      <w:pPr>
        <w:spacing w:before="240" w:after="80"/>
        <w:jc w:val="both"/>
        <w:outlineLvl w:val="1"/>
        <w:rPr>
          <w:rFonts w:ascii="Aptos" w:eastAsia="Arial" w:hAnsi="Aptos" w:cs="Arial"/>
          <w:color w:val="000000"/>
          <w:kern w:val="0"/>
          <w:lang w:val="es-UY" w:eastAsia="es-MX"/>
          <w14:ligatures w14:val="none"/>
        </w:rPr>
      </w:pPr>
      <w:r w:rsidRPr="00250DF1">
        <w:rPr>
          <w:rFonts w:ascii="Aptos" w:eastAsia="Arial" w:hAnsi="Aptos" w:cs="Arial"/>
          <w:color w:val="000000"/>
          <w:kern w:val="0"/>
          <w:lang w:eastAsia="es-MX"/>
          <w14:ligatures w14:val="none"/>
        </w:rPr>
        <w:t xml:space="preserve">Detalle </w:t>
      </w:r>
      <w:proofErr w:type="spellStart"/>
      <w:r w:rsidRPr="00250DF1">
        <w:rPr>
          <w:rFonts w:ascii="Aptos" w:eastAsia="Arial" w:hAnsi="Aptos" w:cs="Arial"/>
          <w:color w:val="000000"/>
          <w:kern w:val="0"/>
          <w:lang w:eastAsia="es-MX"/>
          <w14:ligatures w14:val="none"/>
        </w:rPr>
        <w:t>itemizado</w:t>
      </w:r>
      <w:proofErr w:type="spellEnd"/>
      <w:r w:rsidRPr="00250DF1">
        <w:rPr>
          <w:rFonts w:ascii="Aptos" w:eastAsia="Arial" w:hAnsi="Aptos" w:cs="Arial"/>
          <w:color w:val="000000"/>
          <w:kern w:val="0"/>
          <w:lang w:eastAsia="es-MX"/>
          <w14:ligatures w14:val="none"/>
        </w:rPr>
        <w:t xml:space="preserve"> de los rubros solicitados con justificación de cada ítem.</w:t>
      </w:r>
      <w:r>
        <w:rPr>
          <w:rFonts w:ascii="Aptos" w:eastAsia="Arial" w:hAnsi="Aptos" w:cs="Arial"/>
          <w:color w:val="000000"/>
          <w:kern w:val="0"/>
          <w:lang w:eastAsia="es-MX"/>
          <w14:ligatures w14:val="none"/>
        </w:rPr>
        <w:t xml:space="preserve"> </w:t>
      </w:r>
      <w:r w:rsidR="00287BE6" w:rsidRPr="00287BE6">
        <w:rPr>
          <w:rFonts w:ascii="Aptos" w:eastAsia="Arial" w:hAnsi="Aptos" w:cs="Arial"/>
          <w:color w:val="000000"/>
          <w:kern w:val="0"/>
          <w:lang w:eastAsia="es-MX"/>
          <w14:ligatures w14:val="none"/>
        </w:rPr>
        <w:t>El total solicitado al GOCUR no puede superar USD 5.000. Incluir: materiales fungibles, equipamiento inventariable, servicios contratados, viajes y congresos. El presupuesto deberá destinarse exclusivamente a actividades propias del proyecto; en ningún caso podrá utilizarse para cubrir la remuneración del investigador principal, del tutor ni de otro personal adscrito al proyecto. Durante la ejecución, el equipo podrá gestionar financiamiento complementario de otras fuentes conforme a lo establecido en la sección 4.2 de estas bases, debiendo informarlo oportunamente al GOCUR.</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9. Plan de difusión</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 xml:space="preserve">Descripción del impacto clínico esperado y de la estrategia de difusión de resultados (publicación en revista indexada, presentación en congreso, aplicación en la práctica asistencial, etc.). Justificar la relevancia del proyecto para la oncología en Uruguay. </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lastRenderedPageBreak/>
        <w:t>10. Resultados esperados</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Descripción de los resultados esperados y su potencial impacto en la práctica clínica, la calidad asistencial o la formación de posgrado.</w:t>
      </w:r>
    </w:p>
    <w:p w:rsidR="006C0621" w:rsidRPr="006C0621" w:rsidRDefault="006C0621" w:rsidP="005E5550">
      <w:pPr>
        <w:spacing w:before="240" w:after="80"/>
        <w:outlineLvl w:val="1"/>
        <w:rPr>
          <w:rFonts w:ascii="Aptos" w:eastAsia="Arial" w:hAnsi="Aptos" w:cs="Arial"/>
          <w:b/>
          <w:bCs/>
          <w:color w:val="000000"/>
          <w:kern w:val="0"/>
          <w:lang w:val="es-UY" w:eastAsia="es-MX"/>
          <w14:ligatures w14:val="none"/>
        </w:rPr>
      </w:pPr>
      <w:r w:rsidRPr="006C0621">
        <w:rPr>
          <w:rFonts w:ascii="Aptos" w:eastAsia="Arial" w:hAnsi="Aptos" w:cs="Arial"/>
          <w:b/>
          <w:bCs/>
          <w:color w:val="000000"/>
          <w:kern w:val="0"/>
          <w:lang w:val="es-UY" w:eastAsia="es-MX"/>
          <w14:ligatures w14:val="none"/>
        </w:rPr>
        <w:t>11. Adecuación específica a la convocatoria</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r w:rsidRPr="006C0621">
        <w:rPr>
          <w:rFonts w:ascii="Aptos" w:eastAsia="Arial" w:hAnsi="Aptos" w:cs="Arial"/>
          <w:color w:val="000000"/>
          <w:kern w:val="0"/>
          <w:lang w:val="es-UY" w:eastAsia="es-MX"/>
          <w14:ligatures w14:val="none"/>
        </w:rPr>
        <w:t>Apartado obligatorio en el que el postulante justifica explícitamente cómo el proyecto se encuadra en las áreas temáticas y objetivos de esta convocatoria. Puede incluir: características del servicio o unidad donde se desarrollará, aspectos destacables de innovación asistencial o calidad, y justificación de la duración del proyecto.</w:t>
      </w:r>
    </w:p>
    <w:p w:rsidR="006C0621" w:rsidRPr="006C0621" w:rsidRDefault="006C0621" w:rsidP="005E5550">
      <w:pPr>
        <w:spacing w:before="80" w:after="80"/>
        <w:jc w:val="both"/>
        <w:rPr>
          <w:rFonts w:ascii="Aptos" w:eastAsia="Arial" w:hAnsi="Aptos" w:cs="Arial"/>
          <w:color w:val="000000"/>
          <w:kern w:val="0"/>
          <w:lang w:val="es-UY" w:eastAsia="es-MX"/>
          <w14:ligatures w14:val="none"/>
        </w:rPr>
      </w:pPr>
    </w:p>
    <w:p w:rsidR="006C0621" w:rsidRPr="006C0621" w:rsidRDefault="006C0621" w:rsidP="005E5550">
      <w:pPr>
        <w:spacing w:before="80" w:after="80"/>
        <w:jc w:val="both"/>
        <w:rPr>
          <w:rFonts w:ascii="Aptos" w:eastAsia="Arial" w:hAnsi="Aptos" w:cs="Arial"/>
          <w:color w:val="000000"/>
          <w:kern w:val="0"/>
          <w:lang w:val="es-UY" w:eastAsia="es-MX"/>
          <w14:ligatures w14:val="none"/>
        </w:rPr>
      </w:pPr>
    </w:p>
    <w:p w:rsidR="00EA5A9F" w:rsidRPr="006C0621" w:rsidRDefault="00EA5A9F" w:rsidP="005E5550">
      <w:pPr>
        <w:rPr>
          <w:lang w:val="es-UY"/>
        </w:rPr>
      </w:pPr>
    </w:p>
    <w:sectPr w:rsidR="00EA5A9F" w:rsidRPr="006C0621" w:rsidSect="006C0621">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07C07" w:rsidRDefault="00D07C07">
      <w:r>
        <w:separator/>
      </w:r>
    </w:p>
  </w:endnote>
  <w:endnote w:type="continuationSeparator" w:id="0">
    <w:p w:rsidR="00D07C07" w:rsidRDefault="00D0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4107C" w:rsidRDefault="00000000">
    <w:pPr>
      <w:jc w:val="center"/>
    </w:pPr>
    <w:r>
      <w:rPr>
        <w:color w:val="888888"/>
        <w:sz w:val="18"/>
        <w:szCs w:val="18"/>
      </w:rPr>
      <w:t xml:space="preserve">Unidad Académica de Oncología Clínica — Hospital de Clínicas | Universidad de la </w:t>
    </w:r>
    <w:proofErr w:type="gramStart"/>
    <w:r>
      <w:rPr>
        <w:color w:val="888888"/>
        <w:sz w:val="18"/>
        <w:szCs w:val="18"/>
      </w:rPr>
      <w:t>República  |</w:t>
    </w:r>
    <w:proofErr w:type="gramEnd"/>
    <w:r>
      <w:rPr>
        <w:color w:val="888888"/>
        <w:sz w:val="18"/>
        <w:szCs w:val="18"/>
      </w:rPr>
      <w:t xml:space="preserve">  Página </w:t>
    </w:r>
    <w:r>
      <w:rPr>
        <w:color w:val="888888"/>
        <w:sz w:val="18"/>
        <w:szCs w:val="18"/>
      </w:rPr>
      <w:fldChar w:fldCharType="begin"/>
    </w:r>
    <w:r>
      <w:rPr>
        <w:color w:val="888888"/>
        <w:sz w:val="18"/>
        <w:szCs w:val="18"/>
      </w:rPr>
      <w:instrText>PAGE</w:instrText>
    </w:r>
    <w:r>
      <w:rPr>
        <w:color w:val="888888"/>
        <w:sz w:val="18"/>
        <w:szCs w:val="18"/>
      </w:rPr>
      <w:fldChar w:fldCharType="separate"/>
    </w:r>
    <w:r>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07C07" w:rsidRDefault="00D07C07">
      <w:r>
        <w:separator/>
      </w:r>
    </w:p>
  </w:footnote>
  <w:footnote w:type="continuationSeparator" w:id="0">
    <w:p w:rsidR="00D07C07" w:rsidRDefault="00D07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7414B"/>
    <w:multiLevelType w:val="hybridMultilevel"/>
    <w:tmpl w:val="578055DA"/>
    <w:lvl w:ilvl="0" w:tplc="E2BCD438">
      <w:start w:val="1"/>
      <w:numFmt w:val="bullet"/>
      <w:lvlText w:val="•"/>
      <w:lvlJc w:val="left"/>
      <w:pPr>
        <w:ind w:left="720" w:hanging="360"/>
      </w:pPr>
    </w:lvl>
    <w:lvl w:ilvl="1" w:tplc="F8F0C4F2">
      <w:numFmt w:val="decimal"/>
      <w:lvlText w:val=""/>
      <w:lvlJc w:val="left"/>
    </w:lvl>
    <w:lvl w:ilvl="2" w:tplc="FD98412A">
      <w:numFmt w:val="decimal"/>
      <w:lvlText w:val=""/>
      <w:lvlJc w:val="left"/>
    </w:lvl>
    <w:lvl w:ilvl="3" w:tplc="5E1A9C18">
      <w:numFmt w:val="decimal"/>
      <w:lvlText w:val=""/>
      <w:lvlJc w:val="left"/>
    </w:lvl>
    <w:lvl w:ilvl="4" w:tplc="D55A5A08">
      <w:numFmt w:val="decimal"/>
      <w:lvlText w:val=""/>
      <w:lvlJc w:val="left"/>
    </w:lvl>
    <w:lvl w:ilvl="5" w:tplc="63D2D766">
      <w:numFmt w:val="decimal"/>
      <w:lvlText w:val=""/>
      <w:lvlJc w:val="left"/>
    </w:lvl>
    <w:lvl w:ilvl="6" w:tplc="1D74560A">
      <w:numFmt w:val="decimal"/>
      <w:lvlText w:val=""/>
      <w:lvlJc w:val="left"/>
    </w:lvl>
    <w:lvl w:ilvl="7" w:tplc="219E3162">
      <w:numFmt w:val="decimal"/>
      <w:lvlText w:val=""/>
      <w:lvlJc w:val="left"/>
    </w:lvl>
    <w:lvl w:ilvl="8" w:tplc="D138E342">
      <w:numFmt w:val="decimal"/>
      <w:lvlText w:val=""/>
      <w:lvlJc w:val="left"/>
    </w:lvl>
  </w:abstractNum>
  <w:abstractNum w:abstractNumId="1" w15:restartNumberingAfterBreak="0">
    <w:nsid w:val="7B361C60"/>
    <w:multiLevelType w:val="hybridMultilevel"/>
    <w:tmpl w:val="96D6FF2C"/>
    <w:lvl w:ilvl="0" w:tplc="DBAA9DBA">
      <w:start w:val="1"/>
      <w:numFmt w:val="bullet"/>
      <w:lvlText w:val="•"/>
      <w:lvlJc w:val="left"/>
      <w:pPr>
        <w:ind w:left="720" w:hanging="360"/>
      </w:pPr>
    </w:lvl>
    <w:lvl w:ilvl="1" w:tplc="679EAB66">
      <w:numFmt w:val="decimal"/>
      <w:lvlText w:val=""/>
      <w:lvlJc w:val="left"/>
    </w:lvl>
    <w:lvl w:ilvl="2" w:tplc="09ECFF70">
      <w:numFmt w:val="decimal"/>
      <w:lvlText w:val=""/>
      <w:lvlJc w:val="left"/>
    </w:lvl>
    <w:lvl w:ilvl="3" w:tplc="1DB049D4">
      <w:numFmt w:val="decimal"/>
      <w:lvlText w:val=""/>
      <w:lvlJc w:val="left"/>
    </w:lvl>
    <w:lvl w:ilvl="4" w:tplc="D3CCB866">
      <w:numFmt w:val="decimal"/>
      <w:lvlText w:val=""/>
      <w:lvlJc w:val="left"/>
    </w:lvl>
    <w:lvl w:ilvl="5" w:tplc="A0765890">
      <w:numFmt w:val="decimal"/>
      <w:lvlText w:val=""/>
      <w:lvlJc w:val="left"/>
    </w:lvl>
    <w:lvl w:ilvl="6" w:tplc="EFECD53C">
      <w:numFmt w:val="decimal"/>
      <w:lvlText w:val=""/>
      <w:lvlJc w:val="left"/>
    </w:lvl>
    <w:lvl w:ilvl="7" w:tplc="216A2210">
      <w:numFmt w:val="decimal"/>
      <w:lvlText w:val=""/>
      <w:lvlJc w:val="left"/>
    </w:lvl>
    <w:lvl w:ilvl="8" w:tplc="35A8E2D4">
      <w:numFmt w:val="decimal"/>
      <w:lvlText w:val=""/>
      <w:lvlJc w:val="left"/>
    </w:lvl>
  </w:abstractNum>
  <w:num w:numId="1" w16cid:durableId="652104884">
    <w:abstractNumId w:val="1"/>
    <w:lvlOverride w:ilvl="0">
      <w:startOverride w:val="1"/>
    </w:lvlOverride>
  </w:num>
  <w:num w:numId="2" w16cid:durableId="14272681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21"/>
    <w:rsid w:val="001C4F47"/>
    <w:rsid w:val="00202761"/>
    <w:rsid w:val="00250DF1"/>
    <w:rsid w:val="00287BE6"/>
    <w:rsid w:val="002F4764"/>
    <w:rsid w:val="0044107C"/>
    <w:rsid w:val="00472231"/>
    <w:rsid w:val="00594A6E"/>
    <w:rsid w:val="005E0245"/>
    <w:rsid w:val="005E2DBE"/>
    <w:rsid w:val="005E5550"/>
    <w:rsid w:val="006C0621"/>
    <w:rsid w:val="00A82935"/>
    <w:rsid w:val="00A82D9D"/>
    <w:rsid w:val="00C10F2B"/>
    <w:rsid w:val="00C60BE3"/>
    <w:rsid w:val="00CE5AF4"/>
    <w:rsid w:val="00D07C07"/>
    <w:rsid w:val="00EA5A9F"/>
    <w:rsid w:val="00EB6513"/>
    <w:rsid w:val="00FF3E77"/>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ecimalSymbol w:val=","/>
  <w:listSeparator w:val=";"/>
  <w14:docId w14:val="45C80634"/>
  <w15:chartTrackingRefBased/>
  <w15:docId w15:val="{CEBB526F-0A00-EF40-B893-6E2A1BBB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U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6C06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C06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C062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C062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C062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C062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C062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C062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C062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0621"/>
    <w:rPr>
      <w:rFonts w:asciiTheme="majorHAnsi" w:eastAsiaTheme="majorEastAsia" w:hAnsiTheme="majorHAnsi" w:cstheme="majorBidi"/>
      <w:color w:val="2F5496" w:themeColor="accent1" w:themeShade="BF"/>
      <w:sz w:val="40"/>
      <w:szCs w:val="40"/>
      <w:lang w:val="es-ES_tradnl"/>
    </w:rPr>
  </w:style>
  <w:style w:type="character" w:customStyle="1" w:styleId="Ttulo2Car">
    <w:name w:val="Título 2 Car"/>
    <w:basedOn w:val="Fuentedeprrafopredeter"/>
    <w:link w:val="Ttulo2"/>
    <w:uiPriority w:val="9"/>
    <w:semiHidden/>
    <w:rsid w:val="006C0621"/>
    <w:rPr>
      <w:rFonts w:asciiTheme="majorHAnsi" w:eastAsiaTheme="majorEastAsia" w:hAnsiTheme="majorHAnsi" w:cstheme="majorBidi"/>
      <w:color w:val="2F5496" w:themeColor="accent1" w:themeShade="BF"/>
      <w:sz w:val="32"/>
      <w:szCs w:val="32"/>
      <w:lang w:val="es-ES_tradnl"/>
    </w:rPr>
  </w:style>
  <w:style w:type="character" w:customStyle="1" w:styleId="Ttulo3Car">
    <w:name w:val="Título 3 Car"/>
    <w:basedOn w:val="Fuentedeprrafopredeter"/>
    <w:link w:val="Ttulo3"/>
    <w:uiPriority w:val="9"/>
    <w:semiHidden/>
    <w:rsid w:val="006C0621"/>
    <w:rPr>
      <w:rFonts w:eastAsiaTheme="majorEastAsia" w:cstheme="majorBidi"/>
      <w:color w:val="2F5496" w:themeColor="accent1" w:themeShade="BF"/>
      <w:sz w:val="28"/>
      <w:szCs w:val="28"/>
      <w:lang w:val="es-ES_tradnl"/>
    </w:rPr>
  </w:style>
  <w:style w:type="character" w:customStyle="1" w:styleId="Ttulo4Car">
    <w:name w:val="Título 4 Car"/>
    <w:basedOn w:val="Fuentedeprrafopredeter"/>
    <w:link w:val="Ttulo4"/>
    <w:uiPriority w:val="9"/>
    <w:semiHidden/>
    <w:rsid w:val="006C0621"/>
    <w:rPr>
      <w:rFonts w:eastAsiaTheme="majorEastAsia" w:cstheme="majorBidi"/>
      <w:i/>
      <w:iCs/>
      <w:color w:val="2F5496" w:themeColor="accent1" w:themeShade="BF"/>
      <w:lang w:val="es-ES_tradnl"/>
    </w:rPr>
  </w:style>
  <w:style w:type="character" w:customStyle="1" w:styleId="Ttulo5Car">
    <w:name w:val="Título 5 Car"/>
    <w:basedOn w:val="Fuentedeprrafopredeter"/>
    <w:link w:val="Ttulo5"/>
    <w:uiPriority w:val="9"/>
    <w:semiHidden/>
    <w:rsid w:val="006C0621"/>
    <w:rPr>
      <w:rFonts w:eastAsiaTheme="majorEastAsia" w:cstheme="majorBidi"/>
      <w:color w:val="2F5496" w:themeColor="accent1" w:themeShade="BF"/>
      <w:lang w:val="es-ES_tradnl"/>
    </w:rPr>
  </w:style>
  <w:style w:type="character" w:customStyle="1" w:styleId="Ttulo6Car">
    <w:name w:val="Título 6 Car"/>
    <w:basedOn w:val="Fuentedeprrafopredeter"/>
    <w:link w:val="Ttulo6"/>
    <w:uiPriority w:val="9"/>
    <w:semiHidden/>
    <w:rsid w:val="006C0621"/>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6C0621"/>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6C0621"/>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6C0621"/>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6C062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C0621"/>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6C062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C0621"/>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6C062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C0621"/>
    <w:rPr>
      <w:i/>
      <w:iCs/>
      <w:color w:val="404040" w:themeColor="text1" w:themeTint="BF"/>
      <w:lang w:val="es-ES_tradnl"/>
    </w:rPr>
  </w:style>
  <w:style w:type="paragraph" w:styleId="Prrafodelista">
    <w:name w:val="List Paragraph"/>
    <w:basedOn w:val="Normal"/>
    <w:uiPriority w:val="34"/>
    <w:qFormat/>
    <w:rsid w:val="006C0621"/>
    <w:pPr>
      <w:ind w:left="720"/>
      <w:contextualSpacing/>
    </w:pPr>
  </w:style>
  <w:style w:type="character" w:styleId="nfasisintenso">
    <w:name w:val="Intense Emphasis"/>
    <w:basedOn w:val="Fuentedeprrafopredeter"/>
    <w:uiPriority w:val="21"/>
    <w:qFormat/>
    <w:rsid w:val="006C0621"/>
    <w:rPr>
      <w:i/>
      <w:iCs/>
      <w:color w:val="2F5496" w:themeColor="accent1" w:themeShade="BF"/>
    </w:rPr>
  </w:style>
  <w:style w:type="paragraph" w:styleId="Citadestacada">
    <w:name w:val="Intense Quote"/>
    <w:basedOn w:val="Normal"/>
    <w:next w:val="Normal"/>
    <w:link w:val="CitadestacadaCar"/>
    <w:uiPriority w:val="30"/>
    <w:qFormat/>
    <w:rsid w:val="006C06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C0621"/>
    <w:rPr>
      <w:i/>
      <w:iCs/>
      <w:color w:val="2F5496" w:themeColor="accent1" w:themeShade="BF"/>
      <w:lang w:val="es-ES_tradnl"/>
    </w:rPr>
  </w:style>
  <w:style w:type="character" w:styleId="Referenciaintensa">
    <w:name w:val="Intense Reference"/>
    <w:basedOn w:val="Fuentedeprrafopredeter"/>
    <w:uiPriority w:val="32"/>
    <w:qFormat/>
    <w:rsid w:val="006C0621"/>
    <w:rPr>
      <w:b/>
      <w:bCs/>
      <w:smallCaps/>
      <w:color w:val="2F5496" w:themeColor="accent1" w:themeShade="BF"/>
      <w:spacing w:val="5"/>
    </w:rPr>
  </w:style>
  <w:style w:type="character" w:styleId="Hipervnculo">
    <w:name w:val="Hyperlink"/>
    <w:basedOn w:val="Fuentedeprrafopredeter"/>
    <w:uiPriority w:val="99"/>
    <w:unhideWhenUsed/>
    <w:rsid w:val="006C0621"/>
    <w:rPr>
      <w:color w:val="0563C1" w:themeColor="hyperlink"/>
      <w:u w:val="single"/>
    </w:rPr>
  </w:style>
  <w:style w:type="character" w:styleId="Mencinsinresolver">
    <w:name w:val="Unresolved Mention"/>
    <w:basedOn w:val="Fuentedeprrafopredeter"/>
    <w:uiPriority w:val="99"/>
    <w:semiHidden/>
    <w:unhideWhenUsed/>
    <w:rsid w:val="006C0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cocli@gmail.com" TargetMode="External"/><Relationship Id="rId3" Type="http://schemas.openxmlformats.org/officeDocument/2006/relationships/settings" Target="settings.xml"/><Relationship Id="rId7" Type="http://schemas.openxmlformats.org/officeDocument/2006/relationships/hyperlink" Target="mailto:oncocl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1870</Words>
  <Characters>10290</Characters>
  <Application>Microsoft Office Word</Application>
  <DocSecurity>0</DocSecurity>
  <Lines>85</Lines>
  <Paragraphs>24</Paragraphs>
  <ScaleCrop>false</ScaleCrop>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2026-06-26T15:25:00Z</dcterms:created>
  <dcterms:modified xsi:type="dcterms:W3CDTF">2026-07-21T00:30:00Z</dcterms:modified>
</cp:coreProperties>
</file>